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1FBDE" w14:textId="49A66EA7" w:rsidR="00D4389F" w:rsidRDefault="00D4389F" w:rsidP="00D67E1C">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t>R1-</w:t>
      </w:r>
      <w:r w:rsidRPr="005D15DF">
        <w:rPr>
          <w:rFonts w:ascii="Arial" w:eastAsia="MS Mincho" w:hAnsi="Arial" w:cs="Arial"/>
          <w:b/>
          <w:bCs/>
          <w:sz w:val="28"/>
          <w:lang w:eastAsia="ja-JP"/>
        </w:rPr>
        <w:t>16444</w:t>
      </w:r>
      <w:r>
        <w:rPr>
          <w:rFonts w:ascii="Arial" w:eastAsia="MS Mincho" w:hAnsi="Arial" w:cs="Arial"/>
          <w:b/>
          <w:bCs/>
          <w:sz w:val="28"/>
          <w:lang w:eastAsia="ja-JP"/>
        </w:rPr>
        <w:t>2</w:t>
      </w:r>
    </w:p>
    <w:p w14:paraId="50C844B8" w14:textId="77777777" w:rsidR="00D4389F" w:rsidRDefault="00D4389F" w:rsidP="00D4389F">
      <w:pPr>
        <w:pStyle w:val="Header"/>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9FF31F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D4389F">
        <w:rPr>
          <w:rFonts w:ascii="Arial" w:hAnsi="Arial" w:cs="Arial"/>
          <w:snapToGrid w:val="0"/>
          <w:sz w:val="24"/>
        </w:rPr>
        <w:t>6.2.5.4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7CA05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775E1">
        <w:rPr>
          <w:rFonts w:ascii="Arial" w:hAnsi="Arial" w:cs="Arial"/>
          <w:snapToGrid w:val="0"/>
          <w:sz w:val="24"/>
        </w:rPr>
        <w:t xml:space="preserve">Standalone </w:t>
      </w:r>
      <w:proofErr w:type="spellStart"/>
      <w:r w:rsidR="003775E1">
        <w:rPr>
          <w:rFonts w:ascii="Arial" w:hAnsi="Arial" w:cs="Arial"/>
          <w:snapToGrid w:val="0"/>
          <w:sz w:val="24"/>
        </w:rPr>
        <w:t>eMBMS</w:t>
      </w:r>
      <w:proofErr w:type="spellEnd"/>
      <w:r w:rsidR="003775E1">
        <w:rPr>
          <w:rFonts w:ascii="Arial" w:hAnsi="Arial" w:cs="Arial"/>
          <w:snapToGrid w:val="0"/>
          <w:sz w:val="24"/>
        </w:rPr>
        <w:t xml:space="preserve"> carrier</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DA21F6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w:t>
      </w:r>
    </w:p>
    <w:p w14:paraId="225AC796" w14:textId="77777777" w:rsidR="00D57529" w:rsidRPr="00111B9A" w:rsidRDefault="00D57529" w:rsidP="00D57529">
      <w:pPr>
        <w:pStyle w:val="LGTdoc0"/>
        <w:spacing w:afterLines="0" w:after="120" w:line="240" w:lineRule="auto"/>
        <w:ind w:left="792"/>
        <w:rPr>
          <w:szCs w:val="22"/>
        </w:rPr>
      </w:pPr>
    </w:p>
    <w:p w14:paraId="0DD87E91" w14:textId="0BD0CED6" w:rsidR="00547160" w:rsidRDefault="003775E1"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Cell acquisition and system information</w:t>
      </w:r>
    </w:p>
    <w:p w14:paraId="1D3816D6" w14:textId="0836540E" w:rsidR="003775E1" w:rsidRDefault="003775E1" w:rsidP="003775E1">
      <w:pPr>
        <w:pStyle w:val="LGTdoc1"/>
        <w:spacing w:beforeLines="0" w:before="120" w:after="220" w:afterAutospacing="0"/>
        <w:rPr>
          <w:b w:val="0"/>
          <w:sz w:val="22"/>
          <w:szCs w:val="22"/>
        </w:rPr>
      </w:pPr>
      <w:r>
        <w:rPr>
          <w:b w:val="0"/>
          <w:sz w:val="22"/>
          <w:szCs w:val="22"/>
        </w:rPr>
        <w:t xml:space="preserve">One of the main characteristics of a standalone </w:t>
      </w:r>
      <w:proofErr w:type="spellStart"/>
      <w:r>
        <w:rPr>
          <w:b w:val="0"/>
          <w:sz w:val="22"/>
          <w:szCs w:val="22"/>
        </w:rPr>
        <w:t>eMBMS</w:t>
      </w:r>
      <w:proofErr w:type="spellEnd"/>
      <w:r>
        <w:rPr>
          <w:b w:val="0"/>
          <w:sz w:val="22"/>
          <w:szCs w:val="22"/>
        </w:rPr>
        <w:t xml:space="preserve"> carrier is that it has to be </w:t>
      </w:r>
      <w:r>
        <w:rPr>
          <w:b w:val="0"/>
          <w:i/>
          <w:sz w:val="22"/>
          <w:szCs w:val="22"/>
        </w:rPr>
        <w:t>self-contained</w:t>
      </w:r>
      <w:r>
        <w:rPr>
          <w:b w:val="0"/>
          <w:sz w:val="22"/>
          <w:szCs w:val="22"/>
        </w:rPr>
        <w:t xml:space="preserve">, i.e., the cell has to provide all the mechanisms for </w:t>
      </w:r>
      <w:r w:rsidR="00822F62">
        <w:rPr>
          <w:b w:val="0"/>
          <w:sz w:val="22"/>
          <w:szCs w:val="22"/>
        </w:rPr>
        <w:t xml:space="preserve">cell detection, system information acquisition and </w:t>
      </w:r>
      <w:proofErr w:type="spellStart"/>
      <w:r w:rsidR="00822F62">
        <w:rPr>
          <w:b w:val="0"/>
          <w:sz w:val="22"/>
          <w:szCs w:val="22"/>
        </w:rPr>
        <w:t>eMBMS</w:t>
      </w:r>
      <w:proofErr w:type="spellEnd"/>
      <w:r w:rsidR="00822F62">
        <w:rPr>
          <w:b w:val="0"/>
          <w:sz w:val="22"/>
          <w:szCs w:val="22"/>
        </w:rPr>
        <w:t xml:space="preserve"> signalling.</w:t>
      </w:r>
    </w:p>
    <w:p w14:paraId="59B3C229" w14:textId="6291AA8F" w:rsidR="00822F62" w:rsidRDefault="00822F62" w:rsidP="003775E1">
      <w:pPr>
        <w:pStyle w:val="LGTdoc1"/>
        <w:spacing w:beforeLines="0" w:before="120" w:after="220" w:afterAutospacing="0"/>
        <w:rPr>
          <w:b w:val="0"/>
          <w:sz w:val="22"/>
          <w:szCs w:val="22"/>
        </w:rPr>
      </w:pPr>
      <w:r>
        <w:rPr>
          <w:b w:val="0"/>
          <w:sz w:val="22"/>
          <w:szCs w:val="22"/>
        </w:rPr>
        <w:t xml:space="preserve">The synchronization signal for </w:t>
      </w:r>
      <w:proofErr w:type="spellStart"/>
      <w:r>
        <w:rPr>
          <w:b w:val="0"/>
          <w:sz w:val="22"/>
          <w:szCs w:val="22"/>
        </w:rPr>
        <w:t>eMBMS</w:t>
      </w:r>
      <w:proofErr w:type="spellEnd"/>
      <w:r>
        <w:rPr>
          <w:b w:val="0"/>
          <w:sz w:val="22"/>
          <w:szCs w:val="22"/>
        </w:rPr>
        <w:t xml:space="preserve"> has to be designed in such a way that the UE complexity is not largely increased. For example, for PSS detection in current LTE a UE has to perform correlation with 3 different PSS sequences. Adding additional PSS sequences for </w:t>
      </w:r>
      <w:proofErr w:type="spellStart"/>
      <w:r>
        <w:rPr>
          <w:b w:val="0"/>
          <w:sz w:val="22"/>
          <w:szCs w:val="22"/>
        </w:rPr>
        <w:t>eMBMS</w:t>
      </w:r>
      <w:proofErr w:type="spellEnd"/>
      <w:r>
        <w:rPr>
          <w:b w:val="0"/>
          <w:sz w:val="22"/>
          <w:szCs w:val="22"/>
        </w:rPr>
        <w:t xml:space="preserve">, potentially with different numerologies with respect to CP and subcarrier spacing, would increase the UE power consumption and complexity. </w:t>
      </w:r>
      <w:r w:rsidR="000D1542">
        <w:rPr>
          <w:b w:val="0"/>
          <w:sz w:val="22"/>
          <w:szCs w:val="22"/>
        </w:rPr>
        <w:t xml:space="preserve">We propose to perform cell acquisition by transmitting a </w:t>
      </w:r>
      <w:r w:rsidR="00D4389F">
        <w:rPr>
          <w:b w:val="0"/>
          <w:sz w:val="22"/>
          <w:szCs w:val="22"/>
        </w:rPr>
        <w:t>non-MBSFN</w:t>
      </w:r>
      <w:r w:rsidR="000D1542">
        <w:rPr>
          <w:b w:val="0"/>
          <w:sz w:val="22"/>
          <w:szCs w:val="22"/>
        </w:rPr>
        <w:t xml:space="preserve"> </w:t>
      </w:r>
      <w:proofErr w:type="spellStart"/>
      <w:r w:rsidR="000D1542">
        <w:rPr>
          <w:b w:val="0"/>
          <w:sz w:val="22"/>
          <w:szCs w:val="22"/>
        </w:rPr>
        <w:t>subframe</w:t>
      </w:r>
      <w:proofErr w:type="spellEnd"/>
      <w:r w:rsidR="000D1542">
        <w:rPr>
          <w:b w:val="0"/>
          <w:sz w:val="22"/>
          <w:szCs w:val="22"/>
        </w:rPr>
        <w:t xml:space="preserve"> with low pe</w:t>
      </w:r>
      <w:r w:rsidR="0048115C">
        <w:rPr>
          <w:b w:val="0"/>
          <w:sz w:val="22"/>
          <w:szCs w:val="22"/>
        </w:rPr>
        <w:t xml:space="preserve">riodicity (e.g. every 40-80ms) reusing the legacy numerology of </w:t>
      </w:r>
      <w:proofErr w:type="gramStart"/>
      <w:r w:rsidR="0048115C">
        <w:rPr>
          <w:b w:val="0"/>
          <w:sz w:val="22"/>
          <w:szCs w:val="22"/>
        </w:rPr>
        <w:t>15kHz</w:t>
      </w:r>
      <w:proofErr w:type="gramEnd"/>
      <w:r w:rsidR="0048115C">
        <w:rPr>
          <w:b w:val="0"/>
          <w:sz w:val="22"/>
          <w:szCs w:val="22"/>
        </w:rPr>
        <w:t xml:space="preserve"> subcarrier spacing.</w:t>
      </w:r>
    </w:p>
    <w:p w14:paraId="33EC383D" w14:textId="1EF848B5" w:rsidR="00822F62" w:rsidRPr="00822DF0" w:rsidRDefault="00822F62" w:rsidP="003775E1">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w:t>
      </w:r>
      <w:r w:rsidR="00D4389F">
        <w:rPr>
          <w:sz w:val="22"/>
          <w:szCs w:val="22"/>
        </w:rPr>
        <w:t>non-MBSFN</w:t>
      </w:r>
      <w:r w:rsidRPr="00822DF0">
        <w:rPr>
          <w:sz w:val="22"/>
          <w:szCs w:val="22"/>
        </w:rPr>
        <w:t xml:space="preserve"> </w:t>
      </w:r>
      <w:proofErr w:type="spellStart"/>
      <w:r w:rsidRPr="00822DF0">
        <w:rPr>
          <w:sz w:val="22"/>
          <w:szCs w:val="22"/>
        </w:rPr>
        <w:t>subframe</w:t>
      </w:r>
      <w:proofErr w:type="spellEnd"/>
      <w:r w:rsidRPr="00822DF0">
        <w:rPr>
          <w:sz w:val="22"/>
          <w:szCs w:val="22"/>
        </w:rPr>
        <w:t xml:space="preserve"> containing PSS/SSS/PBCH/SIBs is transmitted with low </w:t>
      </w:r>
      <w:proofErr w:type="gramStart"/>
      <w:r w:rsidRPr="00822DF0">
        <w:rPr>
          <w:sz w:val="22"/>
          <w:szCs w:val="22"/>
        </w:rPr>
        <w:t>periodicity</w:t>
      </w:r>
      <w:proofErr w:type="gramEnd"/>
      <w:r w:rsidRPr="00822DF0">
        <w:rPr>
          <w:sz w:val="22"/>
          <w:szCs w:val="22"/>
        </w:rPr>
        <w:t xml:space="preserve"> (e.g. every 80ms) in a standalone </w:t>
      </w:r>
      <w:proofErr w:type="spellStart"/>
      <w:r w:rsidRPr="00822DF0">
        <w:rPr>
          <w:sz w:val="22"/>
          <w:szCs w:val="22"/>
        </w:rPr>
        <w:t>eMBMS</w:t>
      </w:r>
      <w:proofErr w:type="spellEnd"/>
      <w:r w:rsidRPr="00822DF0">
        <w:rPr>
          <w:sz w:val="22"/>
          <w:szCs w:val="22"/>
        </w:rPr>
        <w:t xml:space="preserve"> carrier.</w:t>
      </w:r>
    </w:p>
    <w:p w14:paraId="539E4D1C" w14:textId="6345596F" w:rsidR="00762366" w:rsidRDefault="00762366" w:rsidP="003775E1">
      <w:pPr>
        <w:pStyle w:val="LGTdoc1"/>
        <w:spacing w:beforeLines="0" w:before="120" w:after="220" w:afterAutospacing="0"/>
        <w:rPr>
          <w:b w:val="0"/>
          <w:sz w:val="22"/>
          <w:szCs w:val="22"/>
        </w:rPr>
      </w:pPr>
      <w:r>
        <w:rPr>
          <w:b w:val="0"/>
          <w:sz w:val="22"/>
          <w:szCs w:val="22"/>
        </w:rPr>
        <w:t xml:space="preserve">If we follow the legacy design of PBCH we may not be able to perform combining across different PBCH transmissions, since the SFN field in PBCH changes every 40ms. Thus, PBCH may be the limiting factor for cell-edge UEs. </w:t>
      </w:r>
      <w:r w:rsidR="00822DF0">
        <w:rPr>
          <w:b w:val="0"/>
          <w:sz w:val="22"/>
          <w:szCs w:val="22"/>
        </w:rPr>
        <w:t>Some options</w:t>
      </w:r>
      <w:r>
        <w:rPr>
          <w:b w:val="0"/>
          <w:sz w:val="22"/>
          <w:szCs w:val="22"/>
        </w:rPr>
        <w:t xml:space="preserve"> </w:t>
      </w:r>
      <w:proofErr w:type="spellStart"/>
      <w:r>
        <w:rPr>
          <w:b w:val="0"/>
          <w:sz w:val="22"/>
          <w:szCs w:val="22"/>
        </w:rPr>
        <w:t>options</w:t>
      </w:r>
      <w:proofErr w:type="spellEnd"/>
      <w:r>
        <w:rPr>
          <w:b w:val="0"/>
          <w:sz w:val="22"/>
          <w:szCs w:val="22"/>
        </w:rPr>
        <w:t xml:space="preserve"> to enabl</w:t>
      </w:r>
      <w:r w:rsidR="00822DF0">
        <w:rPr>
          <w:b w:val="0"/>
          <w:sz w:val="22"/>
          <w:szCs w:val="22"/>
        </w:rPr>
        <w:t>e a better decoding performance of PBCH are as follows:</w:t>
      </w:r>
    </w:p>
    <w:p w14:paraId="7E2F3845"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Extend the time in which the PBCH is not modified (e.g. from 40ms to 320ms). The SFN payload can be modified accordingly (2 least significant bits are reserved).</w:t>
      </w:r>
    </w:p>
    <w:p w14:paraId="414A28B8"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 xml:space="preserve">Perform PBCH repetition in the </w:t>
      </w:r>
      <w:proofErr w:type="spellStart"/>
      <w:r>
        <w:rPr>
          <w:b w:val="0"/>
          <w:sz w:val="22"/>
          <w:szCs w:val="22"/>
        </w:rPr>
        <w:t>center</w:t>
      </w:r>
      <w:proofErr w:type="spellEnd"/>
      <w:r>
        <w:rPr>
          <w:b w:val="0"/>
          <w:sz w:val="22"/>
          <w:szCs w:val="22"/>
        </w:rPr>
        <w:t xml:space="preserve"> 6RBs, similarly to </w:t>
      </w:r>
      <w:proofErr w:type="spellStart"/>
      <w:r>
        <w:rPr>
          <w:b w:val="0"/>
          <w:sz w:val="22"/>
          <w:szCs w:val="22"/>
        </w:rPr>
        <w:t>eMTC</w:t>
      </w:r>
      <w:proofErr w:type="spellEnd"/>
    </w:p>
    <w:p w14:paraId="76E974CC" w14:textId="1327534C" w:rsidR="00762366" w:rsidRDefault="00762366" w:rsidP="00762366">
      <w:pPr>
        <w:pStyle w:val="LGTdoc1"/>
        <w:numPr>
          <w:ilvl w:val="1"/>
          <w:numId w:val="46"/>
        </w:numPr>
        <w:spacing w:beforeLines="0" w:before="120" w:after="220" w:afterAutospacing="0"/>
        <w:rPr>
          <w:b w:val="0"/>
          <w:sz w:val="22"/>
          <w:szCs w:val="22"/>
        </w:rPr>
      </w:pPr>
      <w:r>
        <w:rPr>
          <w:b w:val="0"/>
          <w:sz w:val="22"/>
          <w:szCs w:val="22"/>
        </w:rPr>
        <w:t xml:space="preserve">Some additional scrambling may be needed to combat interference in the cell-edge case. </w:t>
      </w:r>
    </w:p>
    <w:p w14:paraId="3076A139" w14:textId="3C1D21A4" w:rsidR="001528A3" w:rsidRDefault="001528A3" w:rsidP="001528A3">
      <w:pPr>
        <w:pStyle w:val="LGTdoc1"/>
        <w:numPr>
          <w:ilvl w:val="0"/>
          <w:numId w:val="46"/>
        </w:numPr>
        <w:spacing w:beforeLines="0" w:before="120" w:after="220" w:afterAutospacing="0"/>
        <w:rPr>
          <w:b w:val="0"/>
          <w:sz w:val="22"/>
          <w:szCs w:val="22"/>
        </w:rPr>
      </w:pPr>
      <w:r>
        <w:rPr>
          <w:b w:val="0"/>
          <w:sz w:val="22"/>
          <w:szCs w:val="22"/>
        </w:rPr>
        <w:t xml:space="preserve">Perform PBCH repetition outside the </w:t>
      </w:r>
      <w:proofErr w:type="spellStart"/>
      <w:r>
        <w:rPr>
          <w:b w:val="0"/>
          <w:sz w:val="22"/>
          <w:szCs w:val="22"/>
        </w:rPr>
        <w:t>center</w:t>
      </w:r>
      <w:proofErr w:type="spellEnd"/>
      <w:r>
        <w:rPr>
          <w:b w:val="0"/>
          <w:sz w:val="22"/>
          <w:szCs w:val="22"/>
        </w:rPr>
        <w:t xml:space="preserve"> 6RBs</w:t>
      </w:r>
    </w:p>
    <w:p w14:paraId="7653CC9B" w14:textId="3C76F842" w:rsidR="001528A3" w:rsidRDefault="001528A3" w:rsidP="001528A3">
      <w:pPr>
        <w:pStyle w:val="LGTdoc1"/>
        <w:spacing w:beforeLines="0" w:before="120" w:after="220" w:afterAutospacing="0"/>
        <w:rPr>
          <w:b w:val="0"/>
          <w:sz w:val="22"/>
          <w:szCs w:val="22"/>
        </w:rPr>
      </w:pPr>
      <w:r>
        <w:rPr>
          <w:b w:val="0"/>
          <w:sz w:val="22"/>
          <w:szCs w:val="22"/>
        </w:rPr>
        <w:t xml:space="preserve">This unicast </w:t>
      </w:r>
      <w:proofErr w:type="spellStart"/>
      <w:r>
        <w:rPr>
          <w:b w:val="0"/>
          <w:sz w:val="22"/>
          <w:szCs w:val="22"/>
        </w:rPr>
        <w:t>subframe</w:t>
      </w:r>
      <w:proofErr w:type="spellEnd"/>
      <w:r>
        <w:rPr>
          <w:b w:val="0"/>
          <w:sz w:val="22"/>
          <w:szCs w:val="22"/>
        </w:rPr>
        <w:t xml:space="preserve"> includes all the system information necessary to operate in the cell, </w:t>
      </w:r>
      <w:r w:rsidR="0048115C">
        <w:rPr>
          <w:b w:val="0"/>
          <w:sz w:val="22"/>
          <w:szCs w:val="22"/>
        </w:rPr>
        <w:t xml:space="preserve">such as </w:t>
      </w:r>
      <w:r>
        <w:rPr>
          <w:b w:val="0"/>
          <w:sz w:val="22"/>
          <w:szCs w:val="22"/>
        </w:rPr>
        <w:t>SIB scheduling information,</w:t>
      </w:r>
      <w:r w:rsidR="0048115C">
        <w:rPr>
          <w:b w:val="0"/>
          <w:sz w:val="22"/>
          <w:szCs w:val="22"/>
        </w:rPr>
        <w:t xml:space="preserve"> MBSFN and MBMS information,</w:t>
      </w:r>
      <w:r>
        <w:rPr>
          <w:b w:val="0"/>
          <w:sz w:val="22"/>
          <w:szCs w:val="22"/>
        </w:rPr>
        <w:t xml:space="preserve"> etc.</w:t>
      </w:r>
    </w:p>
    <w:p w14:paraId="618334D9" w14:textId="2F914636" w:rsidR="00DA4986" w:rsidRDefault="00D4389F" w:rsidP="003775E1">
      <w:pPr>
        <w:pStyle w:val="LGTdoc1"/>
        <w:spacing w:beforeLines="0" w:before="120" w:after="220" w:afterAutospacing="0"/>
        <w:rPr>
          <w:b w:val="0"/>
          <w:sz w:val="22"/>
          <w:szCs w:val="22"/>
        </w:rPr>
      </w:pPr>
      <w:r>
        <w:rPr>
          <w:b w:val="0"/>
          <w:sz w:val="22"/>
          <w:szCs w:val="22"/>
        </w:rPr>
        <w:t xml:space="preserve">We present a similar design with additional details in our companion contribution [2] for the general case of an </w:t>
      </w:r>
      <w:proofErr w:type="spellStart"/>
      <w:r>
        <w:rPr>
          <w:b w:val="0"/>
          <w:sz w:val="22"/>
          <w:szCs w:val="22"/>
        </w:rPr>
        <w:t>eMBMS</w:t>
      </w:r>
      <w:proofErr w:type="spellEnd"/>
      <w:r>
        <w:rPr>
          <w:b w:val="0"/>
          <w:sz w:val="22"/>
          <w:szCs w:val="22"/>
        </w:rPr>
        <w:t xml:space="preserve"> with increased number of MBSFN </w:t>
      </w:r>
      <w:proofErr w:type="spellStart"/>
      <w:r>
        <w:rPr>
          <w:b w:val="0"/>
          <w:sz w:val="22"/>
          <w:szCs w:val="22"/>
        </w:rPr>
        <w:t>subframes</w:t>
      </w:r>
      <w:proofErr w:type="spellEnd"/>
      <w:r>
        <w:rPr>
          <w:b w:val="0"/>
          <w:sz w:val="22"/>
          <w:szCs w:val="22"/>
        </w:rPr>
        <w:t xml:space="preserve">. Transmitting SI over the </w:t>
      </w:r>
      <w:proofErr w:type="spellStart"/>
      <w:r w:rsidR="0048115C">
        <w:rPr>
          <w:b w:val="0"/>
          <w:sz w:val="22"/>
          <w:szCs w:val="22"/>
        </w:rPr>
        <w:t>S</w:t>
      </w:r>
      <w:r>
        <w:rPr>
          <w:b w:val="0"/>
          <w:sz w:val="22"/>
          <w:szCs w:val="22"/>
        </w:rPr>
        <w:t>Cell</w:t>
      </w:r>
      <w:proofErr w:type="spellEnd"/>
      <w:r>
        <w:rPr>
          <w:b w:val="0"/>
          <w:sz w:val="22"/>
          <w:szCs w:val="22"/>
        </w:rPr>
        <w:t xml:space="preserve"> should be supported in that case, similarly to current MBMS </w:t>
      </w:r>
      <w:proofErr w:type="spellStart"/>
      <w:r>
        <w:rPr>
          <w:b w:val="0"/>
          <w:sz w:val="22"/>
          <w:szCs w:val="22"/>
        </w:rPr>
        <w:t>SCell</w:t>
      </w:r>
      <w:proofErr w:type="spellEnd"/>
      <w:r>
        <w:rPr>
          <w:b w:val="0"/>
          <w:sz w:val="22"/>
          <w:szCs w:val="22"/>
        </w:rPr>
        <w:t>. With the introduction of these feature, there would be no further RAN1 impact to support standalone cells. Note that this is in line with the WID in [1], where the study for standalone only applies to RAN2.</w:t>
      </w:r>
    </w:p>
    <w:p w14:paraId="05A9FD9C" w14:textId="1839C9FF" w:rsidR="00D4389F" w:rsidRDefault="00D4389F" w:rsidP="003775E1">
      <w:pPr>
        <w:pStyle w:val="LGTdoc1"/>
        <w:spacing w:beforeLines="0" w:before="120" w:after="220" w:afterAutospacing="0"/>
        <w:rPr>
          <w:sz w:val="22"/>
          <w:szCs w:val="22"/>
        </w:rPr>
      </w:pPr>
      <w:r>
        <w:rPr>
          <w:sz w:val="22"/>
          <w:szCs w:val="22"/>
          <w:u w:val="single"/>
        </w:rPr>
        <w:lastRenderedPageBreak/>
        <w:t>Proposal 2</w:t>
      </w:r>
      <w:r w:rsidRPr="00D4389F">
        <w:rPr>
          <w:sz w:val="22"/>
          <w:szCs w:val="22"/>
          <w:u w:val="single"/>
        </w:rPr>
        <w:t>:</w:t>
      </w:r>
      <w:r>
        <w:rPr>
          <w:sz w:val="22"/>
          <w:szCs w:val="22"/>
          <w:u w:val="single"/>
        </w:rPr>
        <w:t xml:space="preserve"> </w:t>
      </w:r>
      <w:r>
        <w:rPr>
          <w:sz w:val="22"/>
          <w:szCs w:val="22"/>
        </w:rPr>
        <w:t xml:space="preserve">Objective b (Increased number of MBSFN </w:t>
      </w:r>
      <w:proofErr w:type="spellStart"/>
      <w:r>
        <w:rPr>
          <w:sz w:val="22"/>
          <w:szCs w:val="22"/>
        </w:rPr>
        <w:t>subframes</w:t>
      </w:r>
      <w:proofErr w:type="spellEnd"/>
      <w:r>
        <w:rPr>
          <w:sz w:val="22"/>
          <w:szCs w:val="22"/>
        </w:rPr>
        <w:t xml:space="preserve"> per radio frame) should support transmission of system information (SIBs/PBCH) over the </w:t>
      </w:r>
      <w:proofErr w:type="spellStart"/>
      <w:r>
        <w:rPr>
          <w:sz w:val="22"/>
          <w:szCs w:val="22"/>
        </w:rPr>
        <w:t>SCell</w:t>
      </w:r>
      <w:proofErr w:type="spellEnd"/>
      <w:r>
        <w:rPr>
          <w:sz w:val="22"/>
          <w:szCs w:val="22"/>
        </w:rPr>
        <w:t xml:space="preserve">. If this is fulfilled, there is no further RAN1 impact to support standalone </w:t>
      </w:r>
      <w:proofErr w:type="spellStart"/>
      <w:r>
        <w:rPr>
          <w:sz w:val="22"/>
          <w:szCs w:val="22"/>
        </w:rPr>
        <w:t>eMBMS</w:t>
      </w:r>
      <w:proofErr w:type="spellEnd"/>
      <w:r>
        <w:rPr>
          <w:sz w:val="22"/>
          <w:szCs w:val="22"/>
        </w:rPr>
        <w:t xml:space="preserve"> carrier. This is in line with WID [1] and current </w:t>
      </w:r>
      <w:proofErr w:type="spellStart"/>
      <w:r w:rsidR="006A4CA5">
        <w:rPr>
          <w:sz w:val="22"/>
          <w:szCs w:val="22"/>
        </w:rPr>
        <w:t>e</w:t>
      </w:r>
      <w:r>
        <w:rPr>
          <w:sz w:val="22"/>
          <w:szCs w:val="22"/>
        </w:rPr>
        <w:t>MBMS</w:t>
      </w:r>
      <w:proofErr w:type="spellEnd"/>
      <w:r>
        <w:rPr>
          <w:sz w:val="22"/>
          <w:szCs w:val="22"/>
        </w:rPr>
        <w:t xml:space="preserve"> operation</w:t>
      </w:r>
      <w:r w:rsidR="00DB6D2A">
        <w:rPr>
          <w:sz w:val="22"/>
          <w:szCs w:val="22"/>
        </w:rPr>
        <w:t xml:space="preserve"> in </w:t>
      </w:r>
      <w:proofErr w:type="spellStart"/>
      <w:r w:rsidR="00DB6D2A">
        <w:rPr>
          <w:sz w:val="22"/>
          <w:szCs w:val="22"/>
        </w:rPr>
        <w:t>SCell</w:t>
      </w:r>
      <w:proofErr w:type="spellEnd"/>
      <w:r w:rsidR="00DB6D2A">
        <w:rPr>
          <w:sz w:val="22"/>
          <w:szCs w:val="22"/>
        </w:rPr>
        <w:t>.</w:t>
      </w:r>
    </w:p>
    <w:p w14:paraId="14D79B35" w14:textId="77777777" w:rsidR="00D4389F" w:rsidRPr="00D4389F" w:rsidRDefault="00D4389F" w:rsidP="003775E1">
      <w:pPr>
        <w:pStyle w:val="LGTdoc1"/>
        <w:spacing w:beforeLines="0" w:before="120" w:after="220" w:afterAutospacing="0"/>
        <w:rPr>
          <w:sz w:val="22"/>
          <w:szCs w:val="22"/>
          <w:u w:val="single"/>
        </w:rPr>
      </w:pPr>
    </w:p>
    <w:p w14:paraId="316D44D3" w14:textId="61FCF049" w:rsidR="007A6932" w:rsidRPr="007A6932" w:rsidRDefault="007A6932" w:rsidP="007A6932">
      <w:pPr>
        <w:pStyle w:val="LGTdoc1"/>
        <w:numPr>
          <w:ilvl w:val="1"/>
          <w:numId w:val="3"/>
        </w:numPr>
        <w:spacing w:beforeLines="0" w:before="120" w:after="220" w:afterAutospacing="0"/>
        <w:rPr>
          <w:rFonts w:ascii="Arial" w:hAnsi="Arial" w:cs="Arial"/>
          <w:sz w:val="24"/>
          <w:lang w:val="en-US"/>
        </w:rPr>
      </w:pPr>
      <w:r w:rsidRPr="007A6932">
        <w:rPr>
          <w:rFonts w:ascii="Arial" w:hAnsi="Arial" w:cs="Arial"/>
          <w:sz w:val="24"/>
          <w:lang w:val="en-US"/>
        </w:rPr>
        <w:t>Impact on legacy UEs</w:t>
      </w:r>
    </w:p>
    <w:bookmarkEnd w:id="0"/>
    <w:bookmarkEnd w:id="1"/>
    <w:p w14:paraId="74F240DD" w14:textId="29CD8CAC" w:rsidR="000D1542" w:rsidRDefault="007A6932" w:rsidP="007A6932">
      <w:pPr>
        <w:pStyle w:val="LGTdoc1"/>
        <w:spacing w:beforeLines="0" w:before="120" w:after="220" w:afterAutospacing="0"/>
        <w:rPr>
          <w:b w:val="0"/>
          <w:sz w:val="22"/>
          <w:szCs w:val="22"/>
        </w:rPr>
      </w:pPr>
      <w:r>
        <w:rPr>
          <w:b w:val="0"/>
          <w:sz w:val="22"/>
          <w:szCs w:val="22"/>
        </w:rPr>
        <w:t xml:space="preserve">One of the drawbacks of </w:t>
      </w:r>
      <w:r w:rsidR="00822DF0">
        <w:rPr>
          <w:b w:val="0"/>
          <w:sz w:val="22"/>
          <w:szCs w:val="22"/>
        </w:rPr>
        <w:t>using the same discovery signal as current LTE</w:t>
      </w:r>
      <w:r>
        <w:rPr>
          <w:b w:val="0"/>
          <w:sz w:val="22"/>
          <w:szCs w:val="22"/>
        </w:rPr>
        <w:t xml:space="preserve"> is that Rel-13 UE may find the PSS sequence in the </w:t>
      </w:r>
      <w:proofErr w:type="spellStart"/>
      <w:r>
        <w:rPr>
          <w:b w:val="0"/>
          <w:sz w:val="22"/>
          <w:szCs w:val="22"/>
        </w:rPr>
        <w:t>eMBMS</w:t>
      </w:r>
      <w:proofErr w:type="spellEnd"/>
      <w:r>
        <w:rPr>
          <w:b w:val="0"/>
          <w:sz w:val="22"/>
          <w:szCs w:val="22"/>
        </w:rPr>
        <w:t xml:space="preserve"> cell and try to get SSS, PBCH and system information. The </w:t>
      </w:r>
      <w:proofErr w:type="spellStart"/>
      <w:r>
        <w:rPr>
          <w:b w:val="0"/>
          <w:sz w:val="22"/>
          <w:szCs w:val="22"/>
        </w:rPr>
        <w:t>eMBMS</w:t>
      </w:r>
      <w:proofErr w:type="spellEnd"/>
      <w:r>
        <w:rPr>
          <w:b w:val="0"/>
          <w:sz w:val="22"/>
          <w:szCs w:val="22"/>
        </w:rPr>
        <w:t xml:space="preserve"> cell should include mechanisms to prevent a legacy UE from spending a long time trying to acquire the cell (otherwise, the cell search process for legacy UE will be delayed, with the corresponding increase in battery consumption). We propose to use a different mapping of PSS and SSS to signal this, similar to FDD vs TDD. For example, the FDD positions of PSS and SSS can be interchanged for this matter.</w:t>
      </w:r>
    </w:p>
    <w:p w14:paraId="0E6E088C" w14:textId="5AF98C25" w:rsidR="00597774" w:rsidRPr="00822DF0" w:rsidRDefault="007A6932" w:rsidP="007A6932">
      <w:pPr>
        <w:pStyle w:val="LGTdoc1"/>
        <w:spacing w:beforeLines="0" w:before="120" w:after="220" w:afterAutospacing="0"/>
        <w:rPr>
          <w:sz w:val="22"/>
          <w:szCs w:val="22"/>
        </w:rPr>
      </w:pPr>
      <w:r w:rsidRPr="00822DF0">
        <w:rPr>
          <w:sz w:val="22"/>
          <w:szCs w:val="22"/>
          <w:u w:val="single"/>
        </w:rPr>
        <w:t xml:space="preserve">Proposal </w:t>
      </w:r>
      <w:r w:rsidR="00D4389F">
        <w:rPr>
          <w:sz w:val="22"/>
          <w:szCs w:val="22"/>
          <w:u w:val="single"/>
        </w:rPr>
        <w:t>3</w:t>
      </w:r>
      <w:r w:rsidRPr="00822DF0">
        <w:rPr>
          <w:sz w:val="22"/>
          <w:szCs w:val="22"/>
          <w:u w:val="single"/>
        </w:rPr>
        <w:t>:</w:t>
      </w:r>
      <w:r w:rsidRPr="00822DF0">
        <w:rPr>
          <w:sz w:val="22"/>
          <w:szCs w:val="22"/>
        </w:rPr>
        <w:t xml:space="preserve"> An </w:t>
      </w:r>
      <w:proofErr w:type="spellStart"/>
      <w:r w:rsidRPr="00822DF0">
        <w:rPr>
          <w:sz w:val="22"/>
          <w:szCs w:val="22"/>
        </w:rPr>
        <w:t>eMBMS</w:t>
      </w:r>
      <w:proofErr w:type="spellEnd"/>
      <w:r w:rsidRPr="00822DF0">
        <w:rPr>
          <w:sz w:val="22"/>
          <w:szCs w:val="22"/>
        </w:rPr>
        <w:t xml:space="preserve"> standalone cell can be identified by the </w:t>
      </w:r>
      <w:r w:rsidR="00597774" w:rsidRPr="00822DF0">
        <w:rPr>
          <w:sz w:val="22"/>
          <w:szCs w:val="22"/>
        </w:rPr>
        <w:t>relative position</w:t>
      </w:r>
      <w:r w:rsidRPr="00822DF0">
        <w:rPr>
          <w:sz w:val="22"/>
          <w:szCs w:val="22"/>
        </w:rPr>
        <w:t xml:space="preserve"> between PSS and SSS.</w:t>
      </w:r>
      <w:r w:rsidR="00597774" w:rsidRPr="00822DF0">
        <w:rPr>
          <w:sz w:val="22"/>
          <w:szCs w:val="22"/>
        </w:rPr>
        <w:t xml:space="preserve"> This prevents legacy UEs from finding the cell.</w:t>
      </w:r>
    </w:p>
    <w:p w14:paraId="05E261F3" w14:textId="77777777" w:rsidR="001528A3" w:rsidRDefault="001528A3" w:rsidP="001528A3">
      <w:pPr>
        <w:pStyle w:val="LGTdoc1"/>
        <w:spacing w:beforeLines="0" w:before="120" w:after="220" w:afterAutospacing="0"/>
        <w:ind w:left="425"/>
        <w:rPr>
          <w:rFonts w:ascii="Arial" w:hAnsi="Arial" w:cs="Arial"/>
          <w:lang w:val="en-US"/>
        </w:rPr>
      </w:pPr>
    </w:p>
    <w:p w14:paraId="6A9E6F58" w14:textId="0CAF5F64" w:rsidR="003775E1" w:rsidRDefault="003775E1" w:rsidP="007A6932">
      <w:pPr>
        <w:pStyle w:val="LGTdoc1"/>
        <w:numPr>
          <w:ilvl w:val="0"/>
          <w:numId w:val="3"/>
        </w:numPr>
        <w:spacing w:beforeLines="0" w:before="120" w:after="220" w:afterAutospacing="0"/>
        <w:rPr>
          <w:rFonts w:ascii="Arial" w:hAnsi="Arial" w:cs="Arial"/>
          <w:lang w:val="en-US"/>
        </w:rPr>
      </w:pPr>
      <w:r>
        <w:rPr>
          <w:rFonts w:ascii="Arial" w:hAnsi="Arial" w:cs="Arial"/>
          <w:lang w:val="en-US"/>
        </w:rPr>
        <w:t>Unicast information</w:t>
      </w:r>
      <w:r w:rsidR="000D1542">
        <w:rPr>
          <w:rFonts w:ascii="Arial" w:hAnsi="Arial" w:cs="Arial"/>
          <w:lang w:val="en-US"/>
        </w:rPr>
        <w:t xml:space="preserve"> and camping</w:t>
      </w:r>
    </w:p>
    <w:p w14:paraId="7EBE0FAD" w14:textId="3C9F7BAE" w:rsidR="00597774" w:rsidRDefault="00597774" w:rsidP="003775E1">
      <w:pPr>
        <w:pStyle w:val="LGTdoc1"/>
        <w:spacing w:beforeLines="0" w:before="120" w:after="220" w:afterAutospacing="0"/>
        <w:rPr>
          <w:rFonts w:ascii="Arial" w:hAnsi="Arial" w:cs="Arial"/>
          <w:lang w:val="en-US"/>
        </w:rPr>
      </w:pPr>
      <w:r>
        <w:rPr>
          <w:b w:val="0"/>
          <w:sz w:val="22"/>
          <w:szCs w:val="22"/>
        </w:rPr>
        <w:t xml:space="preserve">Even though the main objective of standalone </w:t>
      </w:r>
      <w:proofErr w:type="spellStart"/>
      <w:r>
        <w:rPr>
          <w:b w:val="0"/>
          <w:sz w:val="22"/>
          <w:szCs w:val="22"/>
        </w:rPr>
        <w:t>eMBMS</w:t>
      </w:r>
      <w:proofErr w:type="spellEnd"/>
      <w:r>
        <w:rPr>
          <w:b w:val="0"/>
          <w:sz w:val="22"/>
          <w:szCs w:val="22"/>
        </w:rPr>
        <w:t xml:space="preserve"> carrier is to provide </w:t>
      </w:r>
      <w:proofErr w:type="spellStart"/>
      <w:r>
        <w:rPr>
          <w:b w:val="0"/>
          <w:sz w:val="22"/>
          <w:szCs w:val="22"/>
        </w:rPr>
        <w:t>eMBMS</w:t>
      </w:r>
      <w:proofErr w:type="spellEnd"/>
      <w:r>
        <w:rPr>
          <w:b w:val="0"/>
          <w:sz w:val="22"/>
          <w:szCs w:val="22"/>
        </w:rPr>
        <w:t xml:space="preserve"> services, some other </w:t>
      </w:r>
      <w:r w:rsidR="00F00B29">
        <w:rPr>
          <w:b w:val="0"/>
          <w:sz w:val="22"/>
          <w:szCs w:val="22"/>
        </w:rPr>
        <w:t xml:space="preserve">legacy </w:t>
      </w:r>
      <w:r w:rsidR="00822DF0">
        <w:rPr>
          <w:b w:val="0"/>
          <w:sz w:val="22"/>
          <w:szCs w:val="22"/>
        </w:rPr>
        <w:t>use cases</w:t>
      </w:r>
      <w:r>
        <w:rPr>
          <w:b w:val="0"/>
          <w:sz w:val="22"/>
          <w:szCs w:val="22"/>
        </w:rPr>
        <w:t xml:space="preserve"> may be considered. For example, one possible use for a non-</w:t>
      </w:r>
      <w:proofErr w:type="spellStart"/>
      <w:r>
        <w:rPr>
          <w:b w:val="0"/>
          <w:sz w:val="22"/>
          <w:szCs w:val="22"/>
        </w:rPr>
        <w:t>eMBMS</w:t>
      </w:r>
      <w:proofErr w:type="spellEnd"/>
      <w:r>
        <w:rPr>
          <w:b w:val="0"/>
          <w:sz w:val="22"/>
          <w:szCs w:val="22"/>
        </w:rPr>
        <w:t xml:space="preserve"> UE (i.e., a UE that is not decoding/is not interested on </w:t>
      </w:r>
      <w:proofErr w:type="spellStart"/>
      <w:r>
        <w:rPr>
          <w:b w:val="0"/>
          <w:sz w:val="22"/>
          <w:szCs w:val="22"/>
        </w:rPr>
        <w:t>eMBMS</w:t>
      </w:r>
      <w:proofErr w:type="spellEnd"/>
      <w:r>
        <w:rPr>
          <w:b w:val="0"/>
          <w:sz w:val="22"/>
          <w:szCs w:val="22"/>
        </w:rPr>
        <w:t xml:space="preserve"> services) is to use a standalone </w:t>
      </w:r>
      <w:proofErr w:type="spellStart"/>
      <w:r>
        <w:rPr>
          <w:b w:val="0"/>
          <w:sz w:val="22"/>
          <w:szCs w:val="22"/>
        </w:rPr>
        <w:t>eMBMS</w:t>
      </w:r>
      <w:proofErr w:type="spellEnd"/>
      <w:r>
        <w:rPr>
          <w:b w:val="0"/>
          <w:sz w:val="22"/>
          <w:szCs w:val="22"/>
        </w:rPr>
        <w:t xml:space="preserve"> cell for</w:t>
      </w:r>
      <w:r w:rsidR="00030424">
        <w:rPr>
          <w:b w:val="0"/>
          <w:sz w:val="22"/>
          <w:szCs w:val="22"/>
        </w:rPr>
        <w:t xml:space="preserve"> PRS/positioning</w:t>
      </w:r>
      <w:r>
        <w:rPr>
          <w:b w:val="0"/>
          <w:sz w:val="22"/>
          <w:szCs w:val="22"/>
        </w:rPr>
        <w:t>. Another possible use is to get emergency information from these cells (ETWS/CMAS).</w:t>
      </w:r>
      <w:r w:rsidR="00F00B29">
        <w:rPr>
          <w:b w:val="0"/>
          <w:sz w:val="22"/>
          <w:szCs w:val="22"/>
        </w:rPr>
        <w:t xml:space="preserve"> Note that the cell acquisition and system information procedure presented above allows the introduction of these kind of services without any major change to the specification, since they can be performed</w:t>
      </w:r>
      <w:r w:rsidR="00822DF0">
        <w:rPr>
          <w:b w:val="0"/>
          <w:sz w:val="22"/>
          <w:szCs w:val="22"/>
        </w:rPr>
        <w:t xml:space="preserve"> following the legacy procedure in the </w:t>
      </w:r>
      <w:r w:rsidR="0048115C">
        <w:rPr>
          <w:b w:val="0"/>
          <w:sz w:val="22"/>
          <w:szCs w:val="22"/>
        </w:rPr>
        <w:t>non-MBSFN</w:t>
      </w:r>
      <w:r w:rsidR="00822DF0">
        <w:rPr>
          <w:b w:val="0"/>
          <w:sz w:val="22"/>
          <w:szCs w:val="22"/>
        </w:rPr>
        <w:t xml:space="preserve"> </w:t>
      </w:r>
      <w:proofErr w:type="spellStart"/>
      <w:r w:rsidR="00822DF0">
        <w:rPr>
          <w:b w:val="0"/>
          <w:sz w:val="22"/>
          <w:szCs w:val="22"/>
        </w:rPr>
        <w:t>subframes</w:t>
      </w:r>
      <w:proofErr w:type="spellEnd"/>
      <w:r w:rsidR="00822DF0">
        <w:rPr>
          <w:b w:val="0"/>
          <w:sz w:val="22"/>
          <w:szCs w:val="22"/>
        </w:rPr>
        <w:t>.</w:t>
      </w:r>
    </w:p>
    <w:p w14:paraId="6EE3A4B1" w14:textId="0B49DC93" w:rsidR="00597774" w:rsidRPr="00822DF0" w:rsidRDefault="00597774" w:rsidP="00597774">
      <w:pPr>
        <w:pStyle w:val="LGTdoc1"/>
        <w:spacing w:beforeLines="0" w:before="120" w:after="220" w:afterAutospacing="0"/>
        <w:rPr>
          <w:sz w:val="22"/>
          <w:szCs w:val="22"/>
        </w:rPr>
      </w:pPr>
      <w:r w:rsidRPr="00822DF0">
        <w:rPr>
          <w:sz w:val="22"/>
          <w:szCs w:val="22"/>
          <w:u w:val="single"/>
        </w:rPr>
        <w:t xml:space="preserve">Observation </w:t>
      </w:r>
      <w:bookmarkStart w:id="2" w:name="_GoBack"/>
      <w:bookmarkEnd w:id="2"/>
      <w:r w:rsidRPr="00822DF0">
        <w:rPr>
          <w:sz w:val="22"/>
          <w:szCs w:val="22"/>
          <w:u w:val="single"/>
        </w:rPr>
        <w:t>1:</w:t>
      </w:r>
      <w:r w:rsidRPr="00822DF0">
        <w:rPr>
          <w:sz w:val="22"/>
          <w:szCs w:val="22"/>
        </w:rPr>
        <w:t xml:space="preserve"> A UE can use </w:t>
      </w:r>
      <w:proofErr w:type="spellStart"/>
      <w:r w:rsidRPr="00822DF0">
        <w:rPr>
          <w:sz w:val="22"/>
          <w:szCs w:val="22"/>
        </w:rPr>
        <w:t>eMBMS</w:t>
      </w:r>
      <w:proofErr w:type="spellEnd"/>
      <w:r w:rsidRPr="00822DF0">
        <w:rPr>
          <w:sz w:val="22"/>
          <w:szCs w:val="22"/>
        </w:rPr>
        <w:t xml:space="preserve"> standalone cell to receive emergency information (ETWS/CMAS) or measure PRS.</w:t>
      </w:r>
    </w:p>
    <w:p w14:paraId="777F05E0" w14:textId="3B2ECC9E" w:rsidR="00597774" w:rsidRDefault="00F00B29" w:rsidP="00597774">
      <w:pPr>
        <w:pStyle w:val="LGTdoc1"/>
        <w:spacing w:beforeLines="0" w:before="120" w:after="220" w:afterAutospacing="0"/>
        <w:rPr>
          <w:b w:val="0"/>
          <w:sz w:val="22"/>
          <w:szCs w:val="22"/>
        </w:rPr>
      </w:pPr>
      <w:r>
        <w:rPr>
          <w:b w:val="0"/>
          <w:sz w:val="22"/>
          <w:szCs w:val="22"/>
        </w:rPr>
        <w:t xml:space="preserve">The use of </w:t>
      </w:r>
      <w:proofErr w:type="spellStart"/>
      <w:r>
        <w:rPr>
          <w:b w:val="0"/>
          <w:sz w:val="22"/>
          <w:szCs w:val="22"/>
        </w:rPr>
        <w:t>eMBMS</w:t>
      </w:r>
      <w:proofErr w:type="spellEnd"/>
      <w:r>
        <w:rPr>
          <w:b w:val="0"/>
          <w:sz w:val="22"/>
          <w:szCs w:val="22"/>
        </w:rPr>
        <w:t xml:space="preserve"> standalone cells for emergency services can be critical in cases of natural disasters where many cells may be damaged, or in rural areas without proper cellular coverage.</w:t>
      </w:r>
      <w:r w:rsidR="0048115C">
        <w:rPr>
          <w:b w:val="0"/>
          <w:sz w:val="22"/>
          <w:szCs w:val="22"/>
        </w:rPr>
        <w:t xml:space="preserve"> It may also provide low-power emergency monitoring for receivers in stand-by mode (e.g. a set-top box) by monitoring the paging channel with low duty cycle.</w:t>
      </w:r>
      <w:r>
        <w:rPr>
          <w:b w:val="0"/>
          <w:sz w:val="22"/>
          <w:szCs w:val="22"/>
        </w:rPr>
        <w:t xml:space="preserve"> </w:t>
      </w:r>
      <w:r w:rsidR="0048115C">
        <w:rPr>
          <w:b w:val="0"/>
          <w:sz w:val="22"/>
          <w:szCs w:val="22"/>
        </w:rPr>
        <w:t>In general, and also for non-MBMS UEs (e.g. smartphone)</w:t>
      </w:r>
      <w:r>
        <w:rPr>
          <w:b w:val="0"/>
          <w:sz w:val="22"/>
          <w:szCs w:val="22"/>
        </w:rPr>
        <w:t xml:space="preserve"> UE should camp in a standalone </w:t>
      </w:r>
      <w:proofErr w:type="spellStart"/>
      <w:r>
        <w:rPr>
          <w:b w:val="0"/>
          <w:sz w:val="22"/>
          <w:szCs w:val="22"/>
        </w:rPr>
        <w:t>eMBMS</w:t>
      </w:r>
      <w:proofErr w:type="spellEnd"/>
      <w:r>
        <w:rPr>
          <w:b w:val="0"/>
          <w:sz w:val="22"/>
          <w:szCs w:val="22"/>
        </w:rPr>
        <w:t xml:space="preserve"> cell and monitor the paging channel for emergency information if no suitable or acceptable cells are found.</w:t>
      </w:r>
    </w:p>
    <w:p w14:paraId="40CF6596" w14:textId="7AE1A5A2" w:rsidR="00597774" w:rsidRPr="00610BF2" w:rsidRDefault="00597774" w:rsidP="00597774">
      <w:pPr>
        <w:pStyle w:val="LGTdoc1"/>
        <w:spacing w:beforeLines="0" w:before="120" w:after="220" w:afterAutospacing="0"/>
        <w:rPr>
          <w:sz w:val="22"/>
          <w:szCs w:val="22"/>
        </w:rPr>
      </w:pPr>
      <w:r w:rsidRPr="00610BF2">
        <w:rPr>
          <w:sz w:val="22"/>
          <w:szCs w:val="22"/>
          <w:u w:val="single"/>
        </w:rPr>
        <w:t xml:space="preserve">Proposal </w:t>
      </w:r>
      <w:r w:rsidR="00D4389F">
        <w:rPr>
          <w:sz w:val="22"/>
          <w:szCs w:val="22"/>
          <w:u w:val="single"/>
        </w:rPr>
        <w:t>4</w:t>
      </w:r>
      <w:r w:rsidRPr="00610BF2">
        <w:rPr>
          <w:sz w:val="22"/>
          <w:szCs w:val="22"/>
          <w:u w:val="single"/>
        </w:rPr>
        <w:t xml:space="preserve">: </w:t>
      </w:r>
      <w:r w:rsidRPr="00610BF2">
        <w:rPr>
          <w:sz w:val="22"/>
          <w:szCs w:val="22"/>
        </w:rPr>
        <w:t xml:space="preserve">If no suitable or acceptable cell are found, the UE should camp in an </w:t>
      </w:r>
      <w:proofErr w:type="spellStart"/>
      <w:r w:rsidRPr="00610BF2">
        <w:rPr>
          <w:sz w:val="22"/>
          <w:szCs w:val="22"/>
        </w:rPr>
        <w:t>eMBMS</w:t>
      </w:r>
      <w:proofErr w:type="spellEnd"/>
      <w:r w:rsidRPr="00610BF2">
        <w:rPr>
          <w:sz w:val="22"/>
          <w:szCs w:val="22"/>
        </w:rPr>
        <w:t xml:space="preserve"> standalone cell and monitor paging for ETWS/CMAS.</w:t>
      </w:r>
    </w:p>
    <w:p w14:paraId="5ED38D5A" w14:textId="18551776" w:rsidR="00597774" w:rsidRPr="00597774" w:rsidRDefault="00597774" w:rsidP="00597774">
      <w:pPr>
        <w:pStyle w:val="LGTdoc1"/>
        <w:spacing w:beforeLines="0" w:before="120" w:after="220" w:afterAutospacing="0"/>
        <w:rPr>
          <w:b w:val="0"/>
          <w:sz w:val="22"/>
          <w:szCs w:val="22"/>
        </w:rPr>
      </w:pPr>
      <w:r>
        <w:rPr>
          <w:b w:val="0"/>
          <w:sz w:val="22"/>
          <w:szCs w:val="22"/>
        </w:rPr>
        <w:t xml:space="preserve">With this proposal, the cell selection algorithm could be as follows, where the new parts are marked in red, and standalone </w:t>
      </w:r>
      <w:proofErr w:type="spellStart"/>
      <w:r>
        <w:rPr>
          <w:b w:val="0"/>
          <w:sz w:val="22"/>
          <w:szCs w:val="22"/>
        </w:rPr>
        <w:t>eMBMS</w:t>
      </w:r>
      <w:proofErr w:type="spellEnd"/>
      <w:r>
        <w:rPr>
          <w:b w:val="0"/>
          <w:sz w:val="22"/>
          <w:szCs w:val="22"/>
        </w:rPr>
        <w:t xml:space="preserve"> carriers are </w:t>
      </w:r>
      <w:r>
        <w:rPr>
          <w:b w:val="0"/>
          <w:i/>
          <w:sz w:val="22"/>
          <w:szCs w:val="22"/>
        </w:rPr>
        <w:t>Notification-only</w:t>
      </w:r>
      <w:r>
        <w:rPr>
          <w:b w:val="0"/>
          <w:sz w:val="22"/>
          <w:szCs w:val="22"/>
        </w:rPr>
        <w:t xml:space="preserve"> cells:</w:t>
      </w:r>
    </w:p>
    <w:p w14:paraId="0F04F002" w14:textId="77777777" w:rsidR="00597774" w:rsidRDefault="00597774" w:rsidP="00597774">
      <w:pPr>
        <w:pStyle w:val="LGTdoc1"/>
        <w:spacing w:beforeLines="0" w:before="120" w:after="220" w:afterAutospacing="0"/>
        <w:rPr>
          <w:b w:val="0"/>
          <w:sz w:val="22"/>
          <w:szCs w:val="22"/>
        </w:rPr>
      </w:pPr>
    </w:p>
    <w:p w14:paraId="1C875BB4" w14:textId="77777777" w:rsidR="00597774" w:rsidRDefault="00597774" w:rsidP="00F00B29">
      <w:pPr>
        <w:pStyle w:val="LGTdoc1"/>
        <w:keepNext/>
        <w:spacing w:beforeLines="0" w:before="120" w:after="220" w:afterAutospacing="0"/>
        <w:jc w:val="center"/>
      </w:pPr>
      <w:r w:rsidRPr="00597774">
        <w:rPr>
          <w:sz w:val="22"/>
          <w:szCs w:val="22"/>
          <w:lang w:val="en-US"/>
        </w:rPr>
        <w:object w:dxaOrig="14460" w:dyaOrig="12749" w14:anchorId="5FF38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413pt" o:ole="">
            <v:imagedata r:id="rId14" o:title=""/>
          </v:shape>
          <o:OLEObject Type="Embed" ProgID="Word.Picture.8" ShapeID="_x0000_i1025" DrawAspect="Content" ObjectID="_1524675332" r:id="rId15"/>
        </w:object>
      </w:r>
    </w:p>
    <w:p w14:paraId="0FD5D20C" w14:textId="58CF3186" w:rsidR="00597774" w:rsidRPr="00597774" w:rsidRDefault="00597774" w:rsidP="0059777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selection procedure including camping on </w:t>
      </w:r>
      <w:r>
        <w:rPr>
          <w:i/>
        </w:rPr>
        <w:t>notification-Only</w:t>
      </w:r>
      <w:r>
        <w:t xml:space="preserve"> cells</w:t>
      </w:r>
    </w:p>
    <w:p w14:paraId="7FD40967" w14:textId="7DBB7BBF" w:rsidR="00597774" w:rsidRDefault="00597774" w:rsidP="00597774">
      <w:pPr>
        <w:pStyle w:val="LGTdoc1"/>
        <w:spacing w:beforeLines="0" w:before="120" w:after="220" w:afterAutospacing="0"/>
        <w:rPr>
          <w:b w:val="0"/>
          <w:sz w:val="22"/>
          <w:szCs w:val="22"/>
        </w:rPr>
      </w:pPr>
    </w:p>
    <w:p w14:paraId="120D2891" w14:textId="77777777" w:rsidR="00597774" w:rsidRPr="00597774" w:rsidRDefault="00597774" w:rsidP="00597774">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5410211" w14:textId="1BE18263" w:rsidR="003775E1" w:rsidRPr="003775E1" w:rsidRDefault="003775E1" w:rsidP="003775E1">
      <w:pPr>
        <w:rPr>
          <w:rFonts w:ascii="Times New Roman"/>
          <w:snapToGrid w:val="0"/>
          <w:kern w:val="0"/>
          <w:sz w:val="22"/>
          <w:szCs w:val="22"/>
          <w:lang w:val="en-GB"/>
        </w:rPr>
      </w:pPr>
      <w:r w:rsidRPr="003775E1">
        <w:rPr>
          <w:rFonts w:ascii="Times New Roman"/>
          <w:snapToGrid w:val="0"/>
          <w:kern w:val="0"/>
          <w:sz w:val="22"/>
          <w:szCs w:val="22"/>
          <w:lang w:val="en-GB"/>
        </w:rPr>
        <w:t>In</w:t>
      </w:r>
      <w:r>
        <w:rPr>
          <w:rFonts w:ascii="Times New Roman"/>
          <w:snapToGrid w:val="0"/>
          <w:kern w:val="0"/>
          <w:sz w:val="22"/>
          <w:szCs w:val="22"/>
          <w:lang w:val="en-GB"/>
        </w:rPr>
        <w:t xml:space="preserve"> this document we presented our views on design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 </w:t>
      </w:r>
    </w:p>
    <w:p w14:paraId="25B952C4" w14:textId="1F5119C9" w:rsidR="00F00B29" w:rsidRDefault="00F00B29" w:rsidP="00F00B29">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unicast </w:t>
      </w:r>
      <w:proofErr w:type="spellStart"/>
      <w:r w:rsidRPr="00822DF0">
        <w:rPr>
          <w:sz w:val="22"/>
          <w:szCs w:val="22"/>
        </w:rPr>
        <w:t>subframe</w:t>
      </w:r>
      <w:proofErr w:type="spellEnd"/>
      <w:r w:rsidRPr="00822DF0">
        <w:rPr>
          <w:sz w:val="22"/>
          <w:szCs w:val="22"/>
        </w:rPr>
        <w:t xml:space="preserve"> containing PSS/SSS/PBCH/SIBs is transmitted with low periodicity (e.g. every 80ms) in a standalone </w:t>
      </w:r>
      <w:proofErr w:type="spellStart"/>
      <w:r w:rsidRPr="00822DF0">
        <w:rPr>
          <w:sz w:val="22"/>
          <w:szCs w:val="22"/>
        </w:rPr>
        <w:t>eMBMS</w:t>
      </w:r>
      <w:proofErr w:type="spellEnd"/>
      <w:r w:rsidRPr="00822DF0">
        <w:rPr>
          <w:sz w:val="22"/>
          <w:szCs w:val="22"/>
        </w:rPr>
        <w:t xml:space="preserve"> carrier.</w:t>
      </w:r>
    </w:p>
    <w:p w14:paraId="77523E69" w14:textId="77777777" w:rsidR="00DB6D2A" w:rsidRDefault="00DB6D2A" w:rsidP="00DB6D2A">
      <w:pPr>
        <w:pStyle w:val="LGTdoc1"/>
        <w:spacing w:beforeLines="0" w:before="120" w:after="220" w:afterAutospacing="0"/>
        <w:rPr>
          <w:sz w:val="22"/>
          <w:szCs w:val="22"/>
        </w:rPr>
      </w:pPr>
      <w:r>
        <w:rPr>
          <w:sz w:val="22"/>
          <w:szCs w:val="22"/>
          <w:u w:val="single"/>
        </w:rPr>
        <w:t>Proposal 2</w:t>
      </w:r>
      <w:r w:rsidRPr="00D4389F">
        <w:rPr>
          <w:sz w:val="22"/>
          <w:szCs w:val="22"/>
          <w:u w:val="single"/>
        </w:rPr>
        <w:t>:</w:t>
      </w:r>
      <w:r>
        <w:rPr>
          <w:sz w:val="22"/>
          <w:szCs w:val="22"/>
          <w:u w:val="single"/>
        </w:rPr>
        <w:t xml:space="preserve"> </w:t>
      </w:r>
      <w:r>
        <w:rPr>
          <w:sz w:val="22"/>
          <w:szCs w:val="22"/>
        </w:rPr>
        <w:t xml:space="preserve">Objective b (Increased number of MBSFN </w:t>
      </w:r>
      <w:proofErr w:type="spellStart"/>
      <w:r>
        <w:rPr>
          <w:sz w:val="22"/>
          <w:szCs w:val="22"/>
        </w:rPr>
        <w:t>subframes</w:t>
      </w:r>
      <w:proofErr w:type="spellEnd"/>
      <w:r>
        <w:rPr>
          <w:sz w:val="22"/>
          <w:szCs w:val="22"/>
        </w:rPr>
        <w:t xml:space="preserve"> per radio frame) should support transmission of system information (SIBs/PBCH) over the </w:t>
      </w:r>
      <w:proofErr w:type="spellStart"/>
      <w:r>
        <w:rPr>
          <w:sz w:val="22"/>
          <w:szCs w:val="22"/>
        </w:rPr>
        <w:t>SCell</w:t>
      </w:r>
      <w:proofErr w:type="spellEnd"/>
      <w:r>
        <w:rPr>
          <w:sz w:val="22"/>
          <w:szCs w:val="22"/>
        </w:rPr>
        <w:t xml:space="preserve">. If this is fulfilled, there is no further RAN1 impact to support standalone </w:t>
      </w:r>
      <w:proofErr w:type="spellStart"/>
      <w:r>
        <w:rPr>
          <w:sz w:val="22"/>
          <w:szCs w:val="22"/>
        </w:rPr>
        <w:t>eMBMS</w:t>
      </w:r>
      <w:proofErr w:type="spellEnd"/>
      <w:r>
        <w:rPr>
          <w:sz w:val="22"/>
          <w:szCs w:val="22"/>
        </w:rPr>
        <w:t xml:space="preserve"> carrier. This is in line with WID [1] and current </w:t>
      </w:r>
      <w:proofErr w:type="spellStart"/>
      <w:r>
        <w:rPr>
          <w:sz w:val="22"/>
          <w:szCs w:val="22"/>
        </w:rPr>
        <w:t>SCell</w:t>
      </w:r>
      <w:proofErr w:type="spellEnd"/>
      <w:r>
        <w:rPr>
          <w:sz w:val="22"/>
          <w:szCs w:val="22"/>
        </w:rPr>
        <w:t xml:space="preserve"> MBMS operation in </w:t>
      </w:r>
      <w:proofErr w:type="spellStart"/>
      <w:r>
        <w:rPr>
          <w:sz w:val="22"/>
          <w:szCs w:val="22"/>
        </w:rPr>
        <w:t>SCell</w:t>
      </w:r>
      <w:proofErr w:type="spellEnd"/>
      <w:r>
        <w:rPr>
          <w:sz w:val="22"/>
          <w:szCs w:val="22"/>
        </w:rPr>
        <w:t>.</w:t>
      </w:r>
    </w:p>
    <w:p w14:paraId="3027AFE8" w14:textId="0B0FC2F2" w:rsidR="00F00B29" w:rsidRPr="00822DF0" w:rsidRDefault="00F00B29" w:rsidP="00DB6D2A">
      <w:pPr>
        <w:pStyle w:val="LGTdoc1"/>
        <w:spacing w:beforeLines="0" w:before="120" w:after="220" w:afterAutospacing="0"/>
        <w:rPr>
          <w:sz w:val="22"/>
          <w:szCs w:val="22"/>
        </w:rPr>
      </w:pPr>
      <w:r w:rsidRPr="00822DF0">
        <w:rPr>
          <w:sz w:val="22"/>
          <w:szCs w:val="22"/>
          <w:u w:val="single"/>
        </w:rPr>
        <w:t xml:space="preserve">Proposal </w:t>
      </w:r>
      <w:r w:rsidR="00D4389F">
        <w:rPr>
          <w:sz w:val="22"/>
          <w:szCs w:val="22"/>
          <w:u w:val="single"/>
        </w:rPr>
        <w:t>3</w:t>
      </w:r>
      <w:r w:rsidRPr="00822DF0">
        <w:rPr>
          <w:sz w:val="22"/>
          <w:szCs w:val="22"/>
          <w:u w:val="single"/>
        </w:rPr>
        <w:t>:</w:t>
      </w:r>
      <w:r w:rsidRPr="00822DF0">
        <w:rPr>
          <w:sz w:val="22"/>
          <w:szCs w:val="22"/>
        </w:rPr>
        <w:t xml:space="preserve"> An </w:t>
      </w:r>
      <w:proofErr w:type="spellStart"/>
      <w:r w:rsidRPr="00822DF0">
        <w:rPr>
          <w:sz w:val="22"/>
          <w:szCs w:val="22"/>
        </w:rPr>
        <w:t>eMBMS</w:t>
      </w:r>
      <w:proofErr w:type="spellEnd"/>
      <w:r w:rsidRPr="00822DF0">
        <w:rPr>
          <w:sz w:val="22"/>
          <w:szCs w:val="22"/>
        </w:rPr>
        <w:t xml:space="preserve"> standalone cell can be identified by the relative position between PSS and SSS. This prevents legacy UEs from finding the cell.</w:t>
      </w:r>
    </w:p>
    <w:p w14:paraId="014EB55A" w14:textId="0A4C1D9C" w:rsidR="00F00B29" w:rsidRDefault="00F00B29" w:rsidP="005300F0">
      <w:pPr>
        <w:pStyle w:val="LGTdoc1"/>
        <w:spacing w:beforeLines="0" w:before="120" w:after="220" w:afterAutospacing="0"/>
        <w:rPr>
          <w:sz w:val="22"/>
          <w:szCs w:val="22"/>
        </w:rPr>
      </w:pPr>
      <w:r w:rsidRPr="00822DF0">
        <w:rPr>
          <w:sz w:val="22"/>
          <w:szCs w:val="22"/>
          <w:u w:val="single"/>
        </w:rPr>
        <w:t xml:space="preserve">Proposal </w:t>
      </w:r>
      <w:r w:rsidR="00D4389F">
        <w:rPr>
          <w:sz w:val="22"/>
          <w:szCs w:val="22"/>
          <w:u w:val="single"/>
        </w:rPr>
        <w:t>4</w:t>
      </w:r>
      <w:r w:rsidRPr="00822DF0">
        <w:rPr>
          <w:sz w:val="22"/>
          <w:szCs w:val="22"/>
          <w:u w:val="single"/>
        </w:rPr>
        <w:t xml:space="preserve">: </w:t>
      </w:r>
      <w:r w:rsidRPr="00822DF0">
        <w:rPr>
          <w:sz w:val="22"/>
          <w:szCs w:val="22"/>
        </w:rPr>
        <w:t xml:space="preserve">If no suitable or acceptable cell are found, the UE should camp in an </w:t>
      </w:r>
      <w:proofErr w:type="spellStart"/>
      <w:r w:rsidRPr="00822DF0">
        <w:rPr>
          <w:sz w:val="22"/>
          <w:szCs w:val="22"/>
        </w:rPr>
        <w:t>eMBMS</w:t>
      </w:r>
      <w:proofErr w:type="spellEnd"/>
      <w:r w:rsidRPr="00822DF0">
        <w:rPr>
          <w:sz w:val="22"/>
          <w:szCs w:val="22"/>
        </w:rPr>
        <w:t xml:space="preserve"> standalone cell and monitor paging for ETWS/CMAS.</w:t>
      </w:r>
    </w:p>
    <w:p w14:paraId="79482EF3" w14:textId="77777777" w:rsidR="00DB6D2A" w:rsidRPr="00822DF0" w:rsidRDefault="00DB6D2A" w:rsidP="005300F0">
      <w:pPr>
        <w:pStyle w:val="LGTdoc1"/>
        <w:spacing w:beforeLines="0" w:before="120" w:after="220" w:afterAutospacing="0"/>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095C66B5" w14:textId="7BA6B3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p w14:paraId="2A2413E8" w14:textId="3062FAC8" w:rsidR="00D4389F" w:rsidRPr="00822DF0" w:rsidRDefault="00D4389F" w:rsidP="00E77804">
      <w:pPr>
        <w:pStyle w:val="LGTdoc1"/>
        <w:spacing w:beforeLines="0" w:before="120" w:after="220" w:afterAutospacing="0"/>
        <w:rPr>
          <w:b w:val="0"/>
          <w:sz w:val="22"/>
          <w:szCs w:val="22"/>
        </w:rPr>
      </w:pPr>
      <w:r>
        <w:rPr>
          <w:b w:val="0"/>
          <w:sz w:val="22"/>
          <w:szCs w:val="22"/>
        </w:rPr>
        <w:t xml:space="preserve">[2] R1-164440. “Increased number of MBSFN </w:t>
      </w:r>
      <w:proofErr w:type="spellStart"/>
      <w:r>
        <w:rPr>
          <w:b w:val="0"/>
          <w:sz w:val="22"/>
          <w:szCs w:val="22"/>
        </w:rPr>
        <w:t>subframes</w:t>
      </w:r>
      <w:proofErr w:type="spellEnd"/>
      <w:r>
        <w:rPr>
          <w:b w:val="0"/>
          <w:sz w:val="22"/>
          <w:szCs w:val="22"/>
        </w:rPr>
        <w:t xml:space="preserve"> per radio frame”, Qualcomm </w:t>
      </w:r>
      <w:proofErr w:type="spellStart"/>
      <w:r>
        <w:rPr>
          <w:b w:val="0"/>
          <w:sz w:val="22"/>
          <w:szCs w:val="22"/>
        </w:rPr>
        <w:t>Inc</w:t>
      </w:r>
      <w:proofErr w:type="spellEnd"/>
      <w:r>
        <w:rPr>
          <w:b w:val="0"/>
          <w:sz w:val="22"/>
          <w:szCs w:val="22"/>
        </w:rPr>
        <w:t>, 3GPP RAN1 #85, Nanjing, China, May 2016</w:t>
      </w:r>
    </w:p>
    <w:sectPr w:rsidR="00D4389F" w:rsidRPr="00822DF0"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56C96" w14:textId="77777777" w:rsidR="005D6F3F" w:rsidRDefault="005D6F3F">
      <w:r>
        <w:separator/>
      </w:r>
    </w:p>
  </w:endnote>
  <w:endnote w:type="continuationSeparator" w:id="0">
    <w:p w14:paraId="26B5DBA3" w14:textId="77777777" w:rsidR="005D6F3F" w:rsidRDefault="005D6F3F">
      <w:r>
        <w:continuationSeparator/>
      </w:r>
    </w:p>
  </w:endnote>
  <w:endnote w:type="continuationNotice" w:id="1">
    <w:p w14:paraId="09E12830" w14:textId="77777777" w:rsidR="005D6F3F" w:rsidRDefault="005D6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7E1C">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AD12D" w14:textId="77777777" w:rsidR="005D6F3F" w:rsidRDefault="005D6F3F">
      <w:r>
        <w:separator/>
      </w:r>
    </w:p>
  </w:footnote>
  <w:footnote w:type="continuationSeparator" w:id="0">
    <w:p w14:paraId="4368996E" w14:textId="77777777" w:rsidR="005D6F3F" w:rsidRDefault="005D6F3F">
      <w:r>
        <w:continuationSeparator/>
      </w:r>
    </w:p>
  </w:footnote>
  <w:footnote w:type="continuationNotice" w:id="1">
    <w:p w14:paraId="1A0868DC" w14:textId="77777777" w:rsidR="005D6F3F" w:rsidRDefault="005D6F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9"/>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7"/>
  </w:num>
  <w:num w:numId="12">
    <w:abstractNumId w:val="8"/>
  </w:num>
  <w:num w:numId="13">
    <w:abstractNumId w:val="39"/>
  </w:num>
  <w:num w:numId="14">
    <w:abstractNumId w:val="28"/>
  </w:num>
  <w:num w:numId="15">
    <w:abstractNumId w:val="20"/>
  </w:num>
  <w:num w:numId="16">
    <w:abstractNumId w:val="37"/>
  </w:num>
  <w:num w:numId="17">
    <w:abstractNumId w:val="32"/>
  </w:num>
  <w:num w:numId="18">
    <w:abstractNumId w:val="26"/>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1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F3F"/>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F2"/>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CA5"/>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DF0"/>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C4"/>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89F"/>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E1C"/>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2A"/>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5ACTRJNS4X5K-3-3654</_dlc_DocId>
    <_dlc_DocIdUrl xmlns="09bf1062-b00c-4aa1-ba18-87ca9e63a56e">
      <Url>https://projects.qualcomm.com/sites/espresso/_layouts/15/DocIdRedir.aspx?ID=5ACTRJNS4X5K-3-3654</Url>
      <Description>5ACTRJNS4X5K-3-3654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E4FDED-9AF3-4044-A029-DF08139739B0}">
  <ds:schemaRefs>
    <ds:schemaRef ds:uri="http://schemas.openxmlformats.org/officeDocument/2006/bibliography"/>
  </ds:schemaRefs>
</ds:datastoreItem>
</file>

<file path=customXml/itemProps7.xml><?xml version="1.0" encoding="utf-8"?>
<ds:datastoreItem xmlns:ds="http://schemas.openxmlformats.org/officeDocument/2006/customXml" ds:itemID="{A237A103-AD16-45F5-B21B-6912DBDE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4</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21</cp:revision>
  <cp:lastPrinted>2010-08-13T21:54:00Z</cp:lastPrinted>
  <dcterms:created xsi:type="dcterms:W3CDTF">2016-03-22T22:35:00Z</dcterms:created>
  <dcterms:modified xsi:type="dcterms:W3CDTF">2016-05-14T03:09:00Z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40b8157d-a471-447f-bc3f-9e6eb3b13933</vt:lpwstr>
  </property>
</Properties>
</file>